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>
          <w:trHeight w:val="1303" w:hRule="atLeast"/>
        </w:trPr>
        <w:tc>
          <w:tcPr>
            <w:tcW w:type="dxa" w:w="6379"/>
            <w:tcBorders/>
          </w:tcPr>
          <w:p>
            <w:pPr>
              <w:pStyle w:val="Bezproreda"/>
              <w:spacing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 xml:space="preserve">REPUBLIKA HRVATSKA</w:t>
            </w:r>
            <w:r>
              <w:rPr>
                <w:rFonts w:ascii="Times New Roman" w:hAnsi="Times New Roman"/>
                <w:b/>
                <w:i/>
                <w:iCs/>
              </w:rPr>
              <w:br/>
            </w:r>
            <w:r>
              <w:rPr>
                <w:rFonts w:ascii="Times New Roman" w:hAnsi="Times New Roman"/>
                <w:b/>
                <w:i/>
                <w:iCs/>
              </w:rPr>
              <w:t xml:space="preserve">SREDNJA ŠKOLA „JURE KAŠTELAN „Omiš</w:t>
            </w:r>
          </w:p>
          <w:p>
            <w:pPr>
              <w:pStyle w:val="Bezproreda"/>
              <w:spacing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 xml:space="preserve">Trg kralja Tomislava 2</w:t>
            </w:r>
            <w:r>
              <w:rPr>
                <w:rFonts w:ascii="Times New Roman" w:hAnsi="Times New Roman"/>
                <w:b/>
                <w:i/>
                <w:iCs/>
              </w:rPr>
              <w:tab/>
              <w:t xml:space="preserve"/>
            </w:r>
            <w:r>
              <w:rPr>
                <w:rFonts w:ascii="Times New Roman" w:hAnsi="Times New Roman"/>
                <w:b/>
                <w:i/>
                <w:iCs/>
              </w:rPr>
              <w:tab/>
              <w:t xml:space="preserve"/>
            </w:r>
          </w:p>
          <w:p>
            <w:pPr>
              <w:pStyle w:val="Bezproreda"/>
              <w:spacing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 xml:space="preserve">021/861117</w:t>
            </w:r>
          </w:p>
          <w:p>
            <w:pPr>
              <w:pStyle w:val="Bezproreda"/>
              <w:spacing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 xml:space="preserve">KLASA:       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112-03/25-01/3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2181-354-01-25-1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                                                                                                          Omiš,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09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. siječnja 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202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5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.   </w:t>
            </w:r>
          </w:p>
        </w:tc>
        <w:tc>
          <w:tcPr>
            <w:tcW w:type="dxa" w:w="2693"/>
            <w:tcBorders/>
          </w:tcPr>
          <w:p>
            <w:pPr>
              <w:pStyle w:val="Bezproreda"/>
              <w:spacing/>
              <w:rPr>
                <w:rFonts w:ascii="Times New Roman" w:hAnsi="Times New Roman"/>
                <w:b/>
                <w:i/>
                <w:iCs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</w:t>
      </w:r>
    </w:p>
    <w:p>
      <w:pPr>
        <w:pStyle w:val="Tijeloteksta2"/>
        <w:spacing w:after="0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     </w:t>
      </w:r>
    </w:p>
    <w:p>
      <w:pPr>
        <w:spacing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Arial Narrow" w:hAnsi="Arial Narrow"/>
          <w:lang w:val="hr-HR"/>
        </w:rPr>
        <w:t xml:space="preserve">  </w:t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Na temelju članka 107. Zakona o odgoju i obrazovanju u osnovnoj i srednjoj školi („Narodne novine“ broj </w:t>
      </w:r>
      <w:r>
        <w:rPr>
          <w:rFonts w:ascii="Calibri" w:hAnsi="Calibri" w:eastAsia="Calibri" w:cs="Calibri"/>
          <w:color w:val="000000"/>
          <w:sz w:val="20"/>
          <w:szCs w:val="20"/>
          <w:lang w:val="hr-HR"/>
        </w:rPr>
        <w:t xml:space="preserve">87/08., 86/09., 92/10., 105/10., 90/11.,5/12., 16/12., 86/12., 126/12., 94/13., </w:t>
      </w:r>
      <w:r>
        <w:rPr>
          <w:rFonts w:ascii="Calibri" w:hAnsi="Calibri" w:eastAsia="Calibri" w:cs="Calibri"/>
          <w:bCs/>
          <w:color w:val="000000"/>
          <w:sz w:val="20"/>
          <w:szCs w:val="20"/>
          <w:lang w:val="hr-HR"/>
        </w:rPr>
        <w:t xml:space="preserve">152/14.,</w:t>
      </w:r>
      <w:r>
        <w:rPr>
          <w:rFonts w:ascii="Calibri" w:hAnsi="Calibri" w:eastAsia="Calibri" w:cs="Calibri"/>
          <w:b/>
          <w:bCs/>
          <w:color w:val="000000"/>
          <w:sz w:val="20"/>
          <w:szCs w:val="20"/>
          <w:lang w:val="hr-HR"/>
        </w:rPr>
        <w:t xml:space="preserve"> </w:t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7/17., 68/18., 98/19., 64/20, 151/22.,155/23,156/23),te članka 9. Pravilnika o postupku zapošljavanja te procjeni i vrednovanju kandidata za zapošljavanje, Srednja škola „Jure Kaštelan“ Omiš objavljuje:</w:t>
      </w:r>
    </w:p>
    <w:p>
      <w:pPr>
        <w:spacing w:after="0" w:line="240" w:lineRule="auto"/>
        <w:contextualSpacing/>
        <w:jc w:val="center"/>
        <w:rPr>
          <w:rFonts w:ascii="Arial" w:hAnsi="Arial" w:eastAsia="Calibri" w:cs="Arial"/>
          <w:b/>
          <w:sz w:val="24"/>
          <w:szCs w:val="24"/>
          <w:lang w:val="hr-HR"/>
        </w:rPr>
      </w:pPr>
      <w:r>
        <w:rPr>
          <w:rFonts w:ascii="Arial" w:hAnsi="Arial" w:eastAsia="Calibri" w:cs="Arial"/>
          <w:b/>
          <w:sz w:val="24"/>
          <w:szCs w:val="24"/>
          <w:lang w:val="hr-HR"/>
        </w:rPr>
        <w:t xml:space="preserve">NATJEČAJ</w:t>
      </w:r>
    </w:p>
    <w:p>
      <w:pPr>
        <w:spacing w:after="0" w:line="240" w:lineRule="auto"/>
        <w:contextualSpacing/>
        <w:jc w:val="center"/>
        <w:rPr>
          <w:rFonts w:ascii="Calibri" w:hAnsi="Calibri" w:eastAsia="Calibri" w:cs="Calibri"/>
          <w:b/>
          <w:i/>
          <w:color w:val="000000"/>
          <w:lang w:val="hr-HR"/>
        </w:rPr>
      </w:pPr>
      <w:r>
        <w:rPr>
          <w:rFonts w:ascii="Calibri" w:hAnsi="Calibri" w:eastAsia="Calibri" w:cs="Calibri"/>
          <w:b/>
          <w:i/>
          <w:color w:val="000000"/>
          <w:lang w:val="hr-HR"/>
        </w:rPr>
        <w:t xml:space="preserve">za radno mjesto nastavnik/</w:t>
      </w:r>
      <w:r>
        <w:rPr>
          <w:rFonts w:ascii="Calibri" w:hAnsi="Calibri" w:eastAsia="Calibri" w:cs="Calibri"/>
          <w:b/>
          <w:i/>
          <w:color w:val="000000"/>
          <w:lang w:val="hr-HR"/>
        </w:rPr>
        <w:t xml:space="preserve">ca</w:t>
      </w:r>
      <w:r>
        <w:rPr>
          <w:rFonts w:ascii="Calibri" w:hAnsi="Calibri" w:eastAsia="Calibri" w:cs="Calibri"/>
          <w:b/>
          <w:i/>
          <w:color w:val="000000"/>
          <w:lang w:val="hr-HR"/>
        </w:rPr>
        <w:t xml:space="preserve"> koji/a obavlja poslove</w:t>
      </w:r>
    </w:p>
    <w:p>
      <w:pPr>
        <w:spacing w:after="0" w:line="240" w:lineRule="auto"/>
        <w:contextualSpacing/>
        <w:jc w:val="center"/>
        <w:rPr>
          <w:rFonts w:ascii="Calibri" w:hAnsi="Calibri" w:eastAsia="Times New Roman" w:cs="Calibri"/>
          <w:b/>
          <w:i/>
          <w:color w:val="000000"/>
          <w:sz w:val="20"/>
          <w:szCs w:val="20"/>
          <w:lang w:val="hr-HR" w:eastAsia="hr-HR"/>
        </w:rPr>
      </w:pPr>
      <w:r>
        <w:rPr>
          <w:rFonts w:ascii="Calibri" w:hAnsi="Calibri" w:eastAsia="Calibri" w:cs="Calibri"/>
          <w:b/>
          <w:i/>
          <w:color w:val="000000"/>
          <w:lang w:val="hr-HR"/>
        </w:rPr>
        <w:t xml:space="preserve"> nastavnika/</w:t>
      </w:r>
      <w:r>
        <w:rPr>
          <w:rFonts w:ascii="Calibri" w:hAnsi="Calibri" w:eastAsia="Calibri" w:cs="Calibri"/>
          <w:b/>
          <w:i/>
          <w:color w:val="000000"/>
          <w:lang w:val="hr-HR"/>
        </w:rPr>
        <w:t xml:space="preserve">ce</w:t>
      </w:r>
      <w:r>
        <w:rPr>
          <w:rFonts w:ascii="Calibri" w:hAnsi="Calibri" w:eastAsia="Calibri" w:cs="Calibri"/>
          <w:b/>
          <w:i/>
          <w:color w:val="000000"/>
          <w:lang w:val="hr-HR"/>
        </w:rPr>
        <w:t xml:space="preserve"> </w:t>
      </w:r>
      <w:r>
        <w:rPr>
          <w:rFonts w:ascii="Calibri" w:hAnsi="Calibri" w:eastAsia="Calibri" w:cs="Calibri"/>
          <w:b/>
          <w:i/>
          <w:color w:val="000000"/>
          <w:lang w:val="hr-HR"/>
        </w:rPr>
        <w:t xml:space="preserve">geografije</w:t>
      </w:r>
      <w:r>
        <w:rPr>
          <w:rFonts w:ascii="Calibri" w:hAnsi="Calibri" w:eastAsia="Times New Roman" w:cs="Calibri"/>
          <w:b/>
          <w:i/>
          <w:color w:val="000000"/>
          <w:sz w:val="20"/>
          <w:szCs w:val="20"/>
          <w:lang w:val="hr-HR" w:eastAsia="hr-HR"/>
        </w:rPr>
        <w:t xml:space="preserve">, </w:t>
      </w:r>
    </w:p>
    <w:p>
      <w:pPr>
        <w:spacing w:after="0" w:line="240" w:lineRule="auto"/>
        <w:contextualSpacing/>
        <w:jc w:val="center"/>
        <w:rPr>
          <w:rFonts w:ascii="Calibri" w:hAnsi="Calibri" w:eastAsia="Times New Roman" w:cs="Calibri"/>
          <w:b/>
          <w:i/>
          <w:color w:val="000000"/>
          <w:sz w:val="20"/>
          <w:szCs w:val="20"/>
          <w:lang w:val="hr-HR" w:eastAsia="hr-HR"/>
        </w:rPr>
      </w:pPr>
    </w:p>
    <w:p>
      <w:pPr>
        <w:spacing w:after="0" w:line="240" w:lineRule="auto"/>
        <w:contextualSpacing/>
        <w:jc w:val="center"/>
        <w:rPr>
          <w:rFonts w:ascii="Calibri" w:hAnsi="Calibri" w:eastAsia="Times New Roman" w:cs="Calibri"/>
          <w:color w:val="000000"/>
          <w:sz w:val="20"/>
          <w:szCs w:val="20"/>
          <w:lang w:val="hr-HR" w:eastAsia="hr-HR"/>
        </w:rPr>
      </w:pPr>
      <w:r>
        <w:rPr>
          <w:rFonts w:ascii="Calibri" w:hAnsi="Calibri" w:eastAsia="Times New Roman" w:cs="Calibri"/>
          <w:b/>
          <w:color w:val="000000"/>
          <w:sz w:val="20"/>
          <w:szCs w:val="20"/>
          <w:lang w:val="hr-HR" w:eastAsia="hr-HR"/>
        </w:rPr>
        <w:t xml:space="preserve">- </w:t>
      </w:r>
      <w:r>
        <w:rPr>
          <w:rFonts w:ascii="Calibri" w:hAnsi="Calibri" w:eastAsia="Times New Roman" w:cs="Calibri"/>
          <w:color w:val="000000"/>
          <w:sz w:val="20"/>
          <w:szCs w:val="20"/>
          <w:lang w:val="hr-HR" w:eastAsia="hr-HR"/>
        </w:rPr>
        <w:t xml:space="preserve">1 izvršitelj/</w:t>
      </w:r>
      <w:r>
        <w:rPr>
          <w:rFonts w:ascii="Calibri" w:hAnsi="Calibri" w:eastAsia="Times New Roman" w:cs="Calibri"/>
          <w:color w:val="000000"/>
          <w:sz w:val="20"/>
          <w:szCs w:val="20"/>
          <w:lang w:val="hr-HR" w:eastAsia="hr-HR"/>
        </w:rPr>
        <w:t xml:space="preserve">ica</w:t>
      </w:r>
      <w:r>
        <w:rPr>
          <w:rFonts w:ascii="Calibri" w:hAnsi="Calibri" w:eastAsia="Times New Roman" w:cs="Calibri"/>
          <w:color w:val="000000"/>
          <w:sz w:val="20"/>
          <w:szCs w:val="20"/>
          <w:lang w:val="hr-HR" w:eastAsia="hr-HR"/>
        </w:rPr>
        <w:t xml:space="preserve"> ,</w:t>
      </w:r>
    </w:p>
    <w:p>
      <w:pPr>
        <w:spacing w:after="0" w:line="240" w:lineRule="auto"/>
        <w:contextualSpacing/>
        <w:jc w:val="center"/>
        <w:rPr>
          <w:rFonts w:ascii="Calibri" w:hAnsi="Calibri" w:eastAsia="Times New Roman" w:cs="Calibri"/>
          <w:color w:val="000000"/>
          <w:sz w:val="20"/>
          <w:szCs w:val="20"/>
          <w:lang w:val="hr-HR" w:eastAsia="hr-HR"/>
        </w:rPr>
      </w:pPr>
    </w:p>
    <w:p>
      <w:pPr>
        <w:spacing w:after="0" w:line="240" w:lineRule="auto"/>
        <w:jc w:val="center"/>
        <w:rPr>
          <w:rFonts w:ascii="Calibri" w:hAnsi="Calibri" w:eastAsia="Times New Roman" w:cs="Calibri"/>
          <w:color w:val="000000"/>
          <w:sz w:val="20"/>
          <w:szCs w:val="20"/>
          <w:lang w:val="hr-HR" w:eastAsia="hr-HR"/>
        </w:rPr>
      </w:pPr>
      <w:r>
        <w:rPr>
          <w:rFonts w:ascii="Calibri" w:hAnsi="Calibri" w:eastAsia="Times New Roman" w:cs="Calibri"/>
          <w:bCs/>
          <w:i/>
          <w:color w:val="000000"/>
          <w:sz w:val="20"/>
          <w:szCs w:val="20"/>
          <w:lang w:val="hr-HR" w:eastAsia="hr-HR"/>
        </w:rPr>
        <w:t xml:space="preserve">određeno</w:t>
      </w:r>
      <w:r>
        <w:rPr>
          <w:rFonts w:ascii="Calibri" w:hAnsi="Calibri" w:eastAsia="Times New Roman" w:cs="Calibri"/>
          <w:color w:val="000000"/>
          <w:sz w:val="20"/>
          <w:szCs w:val="20"/>
          <w:lang w:val="hr-HR" w:eastAsia="hr-HR"/>
        </w:rPr>
        <w:t xml:space="preserve"> </w:t>
      </w:r>
      <w:r>
        <w:rPr>
          <w:rFonts w:ascii="Calibri" w:hAnsi="Calibri" w:eastAsia="Times New Roman" w:cs="Calibri"/>
          <w:bCs/>
          <w:i/>
          <w:color w:val="000000"/>
          <w:sz w:val="20"/>
          <w:szCs w:val="20"/>
          <w:lang w:val="hr-HR" w:eastAsia="hr-HR"/>
        </w:rPr>
        <w:t xml:space="preserve">nepuno</w:t>
      </w:r>
      <w:r>
        <w:rPr>
          <w:rFonts w:ascii="Calibri" w:hAnsi="Calibri" w:eastAsia="Times New Roman" w:cs="Calibri"/>
          <w:color w:val="000000"/>
          <w:sz w:val="20"/>
          <w:szCs w:val="20"/>
          <w:lang w:val="hr-HR" w:eastAsia="hr-HR"/>
        </w:rPr>
        <w:t xml:space="preserve"> radno vrijeme, </w:t>
      </w:r>
      <w:r>
        <w:rPr>
          <w:rFonts w:ascii="Calibri" w:hAnsi="Calibri" w:eastAsia="Times New Roman" w:cs="Calibri"/>
          <w:color w:val="000000"/>
          <w:sz w:val="20"/>
          <w:szCs w:val="20"/>
          <w:lang w:val="hr-HR" w:eastAsia="hr-HR"/>
        </w:rPr>
        <w:t xml:space="preserve">29 </w:t>
      </w:r>
      <w:r>
        <w:rPr>
          <w:rFonts w:ascii="Calibri" w:hAnsi="Calibri" w:eastAsia="Times New Roman" w:cs="Calibri"/>
          <w:bCs/>
          <w:color w:val="000000"/>
          <w:sz w:val="20"/>
          <w:szCs w:val="20"/>
          <w:lang w:val="hr-HR" w:eastAsia="hr-HR"/>
        </w:rPr>
        <w:t xml:space="preserve">sati ukupnog tjednog radnog vremena, </w:t>
      </w:r>
      <w:r>
        <w:rPr>
          <w:rFonts w:ascii="Calibri" w:hAnsi="Calibri" w:eastAsia="Times New Roman" w:cs="Calibri"/>
          <w:i/>
          <w:color w:val="000000"/>
          <w:sz w:val="20"/>
          <w:szCs w:val="20"/>
          <w:lang w:val="hr-HR" w:eastAsia="hr-HR"/>
        </w:rPr>
        <w:t xml:space="preserve">zamjena za bolovanje</w:t>
      </w:r>
    </w:p>
    <w:p>
      <w:pPr>
        <w:spacing w:after="0" w:line="240" w:lineRule="auto"/>
        <w:rPr>
          <w:rFonts w:ascii="Calibri" w:hAnsi="Calibri" w:eastAsia="Calibri" w:cs="Calibri"/>
          <w:color w:val="000000"/>
          <w:sz w:val="20"/>
          <w:szCs w:val="20"/>
          <w:lang w:val="hr-HR"/>
        </w:rPr>
      </w:pPr>
    </w:p>
    <w:p>
      <w:pPr>
        <w:spacing w:after="0" w:line="240" w:lineRule="auto"/>
        <w:ind w:left="502"/>
        <w:contextualSpacing/>
        <w:rPr>
          <w:rFonts w:ascii="Calibri" w:hAnsi="Calibri" w:eastAsia="Calibri" w:cs="Calibri"/>
          <w:color w:val="000000"/>
          <w:sz w:val="20"/>
          <w:szCs w:val="20"/>
          <w:lang w:val="hr-HR"/>
        </w:rPr>
      </w:pPr>
    </w:p>
    <w:p>
      <w:pPr>
        <w:spacing w:after="0" w:line="240" w:lineRule="auto"/>
        <w:ind w:left="502"/>
        <w:contextualSpacing/>
        <w:rPr>
          <w:rFonts w:ascii="Calibri" w:hAnsi="Calibri" w:eastAsia="Calibri" w:cs="Calibri"/>
          <w:color w:val="000000"/>
          <w:sz w:val="20"/>
          <w:szCs w:val="20"/>
          <w:lang w:val="hr-HR"/>
        </w:rPr>
      </w:pPr>
      <w:r>
        <w:rPr>
          <w:rFonts w:ascii="Calibri" w:hAnsi="Calibri" w:eastAsia="Calibri" w:cs="Calibri"/>
          <w:color w:val="000000"/>
          <w:sz w:val="20"/>
          <w:szCs w:val="20"/>
          <w:lang w:val="hr-HR"/>
        </w:rPr>
        <w:t xml:space="preserve">Poslovi se obavljaju u Srednjoj školi „Jure Kaštelan“ Omiš ,Trg kralja Tomislava 2, Omiš.</w:t>
      </w:r>
    </w:p>
    <w:p>
      <w:pPr>
        <w:spacing w:after="0" w:line="240" w:lineRule="auto"/>
        <w:ind w:left="502"/>
        <w:contextualSpacing/>
        <w:rPr>
          <w:rFonts w:ascii="Calibri" w:hAnsi="Calibri" w:eastAsia="Calibri" w:cs="Calibri"/>
          <w:color w:val="000000"/>
          <w:sz w:val="20"/>
          <w:szCs w:val="20"/>
          <w:lang w:val="hr-HR"/>
        </w:rPr>
      </w:pPr>
    </w:p>
    <w:p>
      <w:pPr>
        <w:spacing w:after="0" w:line="240" w:lineRule="auto"/>
        <w:rPr>
          <w:rFonts w:ascii="Calibri" w:hAnsi="Calibri" w:eastAsia="Calibri" w:cs="Calibri"/>
          <w:b/>
          <w:sz w:val="20"/>
          <w:szCs w:val="20"/>
          <w:u w:val="single"/>
          <w:lang w:val="hr-HR"/>
        </w:rPr>
      </w:pPr>
      <w:r>
        <w:rPr>
          <w:rFonts w:ascii="Calibri" w:hAnsi="Calibri" w:eastAsia="Calibri" w:cs="Calibri"/>
          <w:b/>
          <w:sz w:val="20"/>
          <w:szCs w:val="20"/>
          <w:u w:val="single"/>
          <w:lang w:val="hr-HR"/>
        </w:rPr>
        <w:t xml:space="preserve">Uvjeti za zasnivanje radnog odnosa:</w:t>
      </w:r>
    </w:p>
    <w:p>
      <w:pPr>
        <w:spacing w:after="0" w:line="240" w:lineRule="auto"/>
        <w:rPr>
          <w:rFonts w:ascii="Calibri" w:hAnsi="Calibri" w:eastAsia="Calibri" w:cs="Calibri"/>
          <w:b/>
          <w:sz w:val="20"/>
          <w:szCs w:val="20"/>
          <w:u w:val="single"/>
          <w:lang w:val="hr-HR"/>
        </w:rPr>
      </w:pPr>
    </w:p>
    <w:p>
      <w:pPr>
        <w:spacing w:after="0" w:line="240" w:lineRule="auto"/>
        <w:rPr>
          <w:rFonts w:ascii="Calibri" w:hAnsi="Calibri" w:eastAsia="Calibri" w:cs="Times New Roman"/>
          <w:sz w:val="20"/>
          <w:szCs w:val="20"/>
          <w:lang w:val="hr-HR"/>
        </w:rPr>
      </w:pPr>
      <w:r>
        <w:rPr>
          <w:rFonts w:ascii="Calibri" w:hAnsi="Calibri" w:eastAsia="Calibri" w:cs="Times New Roman"/>
          <w:b/>
          <w:sz w:val="20"/>
          <w:szCs w:val="20"/>
          <w:lang w:val="hr-HR"/>
        </w:rPr>
        <w:t xml:space="preserve">Opći uvjeti</w:t>
      </w:r>
      <w:r>
        <w:rPr>
          <w:rFonts w:ascii="Calibri" w:hAnsi="Calibri" w:eastAsia="Calibri" w:cs="Times New Roman"/>
          <w:sz w:val="20"/>
          <w:szCs w:val="20"/>
          <w:lang w:val="hr-HR"/>
        </w:rPr>
        <w:t xml:space="preserve"> za zasnivanje radnog odnosa, sukladno općim propisima o radu,  Zakonu o odgoju i obrazovanju u osnovnoj i srednjoj školi (NN br. 87/08., 86/09., 92/10., 105/10., 90/11., 5/12., 16/12., 86/12., 126/12., 94/13., 152/14., 7/17., 68/18., 98/19., 64/20., 151/22 i 155/23., i 156/23.) i  Pravilnika o stručnoj spremi i pedagoško-psihološkom obrazovanju nastavnika u srednjem školstvu (NN, br. 1/96 i 80/99),</w:t>
      </w:r>
    </w:p>
    <w:p>
      <w:pPr>
        <w:spacing w:after="0" w:line="240" w:lineRule="auto"/>
        <w:rPr>
          <w:rFonts w:ascii="Calibri" w:hAnsi="Calibri" w:eastAsia="Calibri" w:cs="Times New Roman"/>
          <w:sz w:val="20"/>
          <w:szCs w:val="20"/>
          <w:lang w:val="hr-HR"/>
        </w:rPr>
      </w:pPr>
      <w:r>
        <w:rPr>
          <w:rFonts w:ascii="Calibri" w:hAnsi="Calibri" w:eastAsia="Calibri" w:cs="Times New Roman"/>
          <w:b/>
          <w:sz w:val="20"/>
          <w:szCs w:val="20"/>
          <w:lang w:val="hr-HR"/>
        </w:rPr>
        <w:t xml:space="preserve">K</w:t>
      </w:r>
      <w:r>
        <w:rPr>
          <w:rFonts w:ascii="Calibri" w:hAnsi="Calibri" w:eastAsia="Calibri" w:cs="Times New Roman"/>
          <w:b/>
          <w:sz w:val="20"/>
          <w:szCs w:val="20"/>
          <w:lang w:val="hr-HR"/>
        </w:rPr>
        <w:t xml:space="preserve">andidati moraju ispuniti i posebne uvjete</w:t>
      </w:r>
      <w:r>
        <w:rPr>
          <w:rFonts w:ascii="Calibri" w:hAnsi="Calibri" w:eastAsia="Calibri" w:cs="Times New Roman"/>
          <w:sz w:val="20"/>
          <w:szCs w:val="20"/>
          <w:lang w:val="hr-HR"/>
        </w:rPr>
        <w:t xml:space="preserve">:</w:t>
      </w:r>
    </w:p>
    <w:p>
      <w:pPr>
        <w:spacing w:after="0" w:line="240" w:lineRule="auto"/>
        <w:rPr>
          <w:rFonts w:ascii="Calibri" w:hAnsi="Calibri" w:eastAsia="Calibri" w:cs="Times New Roman"/>
          <w:sz w:val="20"/>
          <w:szCs w:val="20"/>
          <w:lang w:val="hr-HR"/>
        </w:rPr>
      </w:pPr>
      <w:r>
        <w:rPr>
          <w:rFonts w:ascii="Calibri" w:hAnsi="Calibri" w:eastAsia="Calibri" w:cs="Times New Roman"/>
          <w:sz w:val="20"/>
          <w:szCs w:val="20"/>
          <w:lang w:val="hr-HR"/>
        </w:rPr>
        <w:t xml:space="preserve">- propisane člankom 105. i 106. Zakona o odgoju i obrazovanju u osnovnoj i srednjoj školi (NN, br</w:t>
      </w:r>
      <w:r>
        <w:rPr>
          <w:rFonts w:ascii="Calibri" w:hAnsi="Calibri" w:eastAsia="Calibri" w:cs="Times New Roman"/>
          <w:b/>
          <w:sz w:val="20"/>
          <w:szCs w:val="20"/>
          <w:lang w:val="hr-HR"/>
        </w:rPr>
        <w:t xml:space="preserve">. </w:t>
      </w:r>
      <w:r>
        <w:rPr>
          <w:rFonts w:ascii="Calibri" w:hAnsi="Calibri" w:eastAsia="Calibri" w:cs="Times New Roman"/>
          <w:sz w:val="20"/>
          <w:szCs w:val="20"/>
          <w:lang w:val="hr-HR"/>
        </w:rPr>
        <w:t xml:space="preserve">87/08., 86/09, 92/10, 105/10, 90/11, 5/12, 16/12, 86/12,126/12, 94/13, 152/14, 7/17, 68/18, 98/19, 64/20. ,151/22., 155/23 i 156/23) i Pravilnika o stručnoj spremi i pedagoško-psihološkom obrazovanju nastavnika u srednjem školstvu (NN, br. 1/96 i 80/99).</w:t>
      </w:r>
    </w:p>
    <w:p>
      <w:pPr>
        <w:spacing w:after="0" w:line="240" w:lineRule="auto"/>
        <w:rPr>
          <w:rFonts w:ascii="Calibri" w:hAnsi="Calibri" w:eastAsia="Calibri" w:cs="Times New Roman"/>
          <w:sz w:val="20"/>
          <w:szCs w:val="20"/>
          <w:lang w:val="hr-HR"/>
        </w:rPr>
      </w:pPr>
      <w:r>
        <w:rPr>
          <w:rFonts w:ascii="Calibri" w:hAnsi="Calibri" w:eastAsia="Calibri" w:cs="Times New Roman"/>
          <w:b/>
          <w:sz w:val="20"/>
          <w:szCs w:val="20"/>
          <w:lang w:val="hr-HR"/>
        </w:rPr>
        <w:t xml:space="preserve">Posebni uvjeti za zasnivanje radnog odnosa</w:t>
      </w:r>
      <w:r>
        <w:rPr>
          <w:rFonts w:ascii="Calibri" w:hAnsi="Calibri" w:eastAsia="Calibri" w:cs="Times New Roman"/>
          <w:sz w:val="20"/>
          <w:szCs w:val="20"/>
          <w:lang w:val="hr-HR"/>
        </w:rPr>
        <w:t xml:space="preserve">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>
      <w:pPr>
        <w:spacing w:after="0" w:line="240" w:lineRule="auto"/>
        <w:rPr>
          <w:rFonts w:ascii="Calibri" w:hAnsi="Calibri" w:eastAsia="Calibri" w:cs="Times New Roman"/>
          <w:sz w:val="20"/>
          <w:szCs w:val="20"/>
          <w:lang w:val="hr-HR"/>
        </w:rPr>
      </w:pPr>
      <w:r>
        <w:rPr>
          <w:rFonts w:ascii="Calibri" w:hAnsi="Calibri" w:eastAsia="Calibri" w:cs="Times New Roman"/>
          <w:sz w:val="20"/>
          <w:szCs w:val="20"/>
          <w:lang w:val="hr-HR"/>
        </w:rPr>
        <w:t xml:space="preserve">Kandidat koji je stekao obrazovnu kvalifikaciju izvan Republike Hrvatske, dužan je dostaviti ispravu/e kojom se dokazuje priznavanje inozemne obrazovne kvalifikacije i kojom se ostvaruje pravo na pristup i obavljanje regulirane profesije.</w:t>
      </w:r>
    </w:p>
    <w:p>
      <w:pPr>
        <w:spacing w:after="0" w:line="240" w:lineRule="auto"/>
        <w:rPr>
          <w:rFonts w:ascii="Calibri" w:hAnsi="Calibri" w:eastAsia="Calibri" w:cs="Times New Roman"/>
          <w:sz w:val="20"/>
          <w:szCs w:val="20"/>
          <w:lang w:val="hr-HR"/>
        </w:rPr>
      </w:pPr>
      <w:r>
        <w:rPr>
          <w:rFonts w:ascii="Calibri" w:hAnsi="Calibri" w:eastAsia="Calibri" w:cs="Times New Roman"/>
          <w:sz w:val="20"/>
          <w:szCs w:val="20"/>
          <w:lang w:val="hr-HR"/>
        </w:rPr>
        <w:t xml:space="preserve">Radni odnos u školskoj ustanovi ne može zasnovati osoba za koju postoje zapreke iz članka 106. Zakona o odgoju i obrazovanju u osnovnoj i srednjoj školi.</w:t>
      </w:r>
    </w:p>
    <w:p>
      <w:pPr>
        <w:spacing w:after="0" w:line="240" w:lineRule="auto"/>
        <w:rPr>
          <w:rFonts w:ascii="Calibri" w:hAnsi="Calibri" w:eastAsia="Calibri" w:cs="Calibri"/>
          <w:b/>
          <w:sz w:val="20"/>
          <w:szCs w:val="20"/>
          <w:lang w:val="hr-HR"/>
        </w:rPr>
      </w:pPr>
      <w:r>
        <w:rPr>
          <w:rFonts w:ascii="Calibri" w:hAnsi="Calibri" w:eastAsia="Calibri" w:cs="Times New Roman"/>
          <w:color w:val="333333"/>
          <w:sz w:val="20"/>
          <w:szCs w:val="20"/>
          <w:lang w:val="hr-HR"/>
        </w:rPr>
        <w:br/>
      </w:r>
      <w:r>
        <w:rPr>
          <w:rFonts w:ascii="Calibri" w:hAnsi="Calibri" w:eastAsia="Calibri" w:cs="Calibri"/>
          <w:b/>
          <w:sz w:val="20"/>
          <w:szCs w:val="20"/>
          <w:lang w:val="hr-HR"/>
        </w:rPr>
        <w:t xml:space="preserve">Kandidati su dužni priložiti:</w:t>
      </w:r>
    </w:p>
    <w:p>
      <w:pPr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životopis,</w:t>
      </w:r>
    </w:p>
    <w:p>
      <w:pPr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diploma, odnosno dokaz o odgovarajućem stupnju obrazovanja</w:t>
      </w:r>
    </w:p>
    <w:p>
      <w:pPr>
        <w:numPr>
          <w:ilvl w:val="0"/>
          <w:numId w:val="3"/>
        </w:numPr>
        <w:spacing w:after="0" w:line="240" w:lineRule="auto"/>
        <w:rPr>
          <w:rFonts w:ascii="Calibri" w:hAnsi="Calibri" w:eastAsia="Calibri" w:cs="Times New Roman"/>
          <w:sz w:val="20"/>
          <w:szCs w:val="20"/>
          <w:lang w:val="hr-HR"/>
        </w:rPr>
      </w:pPr>
      <w:r>
        <w:rPr>
          <w:rFonts w:ascii="Calibri" w:hAnsi="Calibri" w:eastAsia="Calibri" w:cs="Times New Roman"/>
          <w:sz w:val="20"/>
          <w:szCs w:val="20"/>
          <w:lang w:val="hr-HR"/>
        </w:rPr>
        <w:t xml:space="preserve">uvjerenje ili potvrda o stečenim pedagoškim kompetencijama (za kandidate koji su ih po Zakonu obvezni steći),</w:t>
      </w:r>
    </w:p>
    <w:p>
      <w:pPr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dokaz o državljanstvu ,</w:t>
      </w:r>
    </w:p>
    <w:p>
      <w:pPr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bookmarkStart w:id="2" w:name="_GoBack"/>
      <w:r>
        <w:rPr>
          <w:rFonts w:ascii="Calibri" w:hAnsi="Calibri" w:eastAsia="Calibri" w:cs="Calibri"/>
          <w:sz w:val="20"/>
          <w:szCs w:val="20"/>
          <w:lang w:val="hr-HR"/>
        </w:rPr>
        <w:t xml:space="preserve">elektronički zapis ili potvrdu o podacima evidentiranim u matičnoj evidenciji Hrvatskog zavoda za mirovinsko osiguranje</w:t>
      </w:r>
    </w:p>
    <w:bookmarkEnd w:id="2"/>
    <w:p>
      <w:pPr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uvjerenje nadležnog suda da podnositelj prijave nije pod istragom i da se protiv podnositelja prijave ne vodi kazneni postupak glede zapreka za zasnivanje radnog odnosa iz članka 106. Zakona o odgoju i obrazovanju u osnovnoj i srednjoj školi (ne starije od </w:t>
      </w:r>
      <w:r>
        <w:rPr>
          <w:rFonts w:ascii="Calibri" w:hAnsi="Calibri" w:eastAsia="Calibri" w:cs="Calibri"/>
          <w:color w:val="FF0000"/>
          <w:sz w:val="20"/>
          <w:szCs w:val="20"/>
          <w:lang w:val="hr-HR"/>
        </w:rPr>
        <w:t xml:space="preserve"> </w:t>
      </w:r>
      <w:r>
        <w:rPr>
          <w:rFonts w:ascii="Calibri" w:hAnsi="Calibri" w:eastAsia="Calibri" w:cs="Calibri"/>
          <w:color w:val="000000"/>
          <w:sz w:val="20"/>
          <w:szCs w:val="20"/>
          <w:lang w:val="hr-HR"/>
        </w:rPr>
        <w:t xml:space="preserve">mjesec dana</w:t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 od dana objave natječaja),</w:t>
      </w:r>
    </w:p>
    <w:p>
      <w:pPr>
        <w:numPr>
          <w:ilvl w:val="0"/>
          <w:numId w:val="3"/>
        </w:num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kandidat koji je stekao inozemnu obrazovnu kvalifikaciju dužan je priložiti i rješenje o priznavanju inozemne obrazovne kvalifikacije  i rješenje Ministarstva znanosti i obrazovanja o priznavanju inozemne obrazovne kvalifikacije radi pristupa reguliranoj profesiji</w:t>
      </w:r>
    </w:p>
    <w:p>
      <w:pPr>
        <w:spacing w:after="0" w:line="240" w:lineRule="auto"/>
        <w:ind w:left="525"/>
        <w:rPr>
          <w:rFonts w:ascii="Calibri" w:hAnsi="Calibri" w:eastAsia="Calibri" w:cs="Calibri"/>
          <w:sz w:val="20"/>
          <w:szCs w:val="20"/>
          <w:lang w:val="hr-HR"/>
        </w:rPr>
      </w:pPr>
    </w:p>
    <w:p>
      <w:p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b/>
          <w:sz w:val="20"/>
          <w:szCs w:val="20"/>
          <w:lang w:val="hr-HR"/>
        </w:rPr>
        <w:t xml:space="preserve">U prijavi na natječaj navode se osobni podaci podnositelja prijave (osobno ime i prezime, adresa stanovanja, broj telefona odnosno mobitela, e-mail adresa na koju će mu biti dostavljena obavijest o datumu , vremenu i načinu procjene, odnosno testiranja) i naziv radnog mjesta na koje se prijavljuje</w:t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.</w:t>
      </w:r>
    </w:p>
    <w:p>
      <w:pPr>
        <w:spacing w:after="0" w:line="240" w:lineRule="auto"/>
        <w:jc w:val="both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Navedene isprave odnosno prilozi dostavljaju se u neovjerenoj preslici. </w:t>
      </w:r>
    </w:p>
    <w:p>
      <w:p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Sukladno Zakonu o ravnopravnosti spolova (NN, br. 82/08. i 69/17.) na natječaj se mogu ravnopravno prijaviti osobe oba spola. Izrazi koji se koriste u natječaju, a imaju rodno značenje koriste se neutralno i odnose se jednako na muške i na ženske osobe. </w:t>
      </w:r>
    </w:p>
    <w:p>
      <w:pPr>
        <w:spacing w:after="0" w:line="240" w:lineRule="auto"/>
        <w:rPr>
          <w:rFonts w:ascii="Calibri" w:hAnsi="Calibri" w:eastAsia="Calibri" w:cs="Calibri"/>
          <w:color w:val="000000"/>
          <w:sz w:val="20"/>
          <w:szCs w:val="20"/>
          <w:lang w:val="hr-HR"/>
        </w:rPr>
      </w:pPr>
      <w:r>
        <w:rPr>
          <w:rFonts w:ascii="Calibri" w:hAnsi="Calibri" w:eastAsia="Calibri" w:cs="Calibri"/>
          <w:color w:val="000000"/>
          <w:sz w:val="20"/>
          <w:szCs w:val="20"/>
          <w:lang w:val="hr-HR"/>
        </w:rPr>
        <w:t xml:space="preserve">Prije sklapanja ugovora o radu odabrani</w:t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 kandidat</w:t>
      </w:r>
      <w:r>
        <w:rPr>
          <w:rFonts w:ascii="Calibri" w:hAnsi="Calibri" w:eastAsia="Calibri" w:cs="Calibri"/>
          <w:color w:val="000000"/>
          <w:sz w:val="20"/>
          <w:szCs w:val="20"/>
          <w:lang w:val="hr-HR"/>
        </w:rPr>
        <w:t xml:space="preserve"> dužan je sve navedene priloge odnosno isprave dostaviti u izvorniku ili u preslici ovjerenoj od strane javnog bilježnika sukladno Zakonu o javnom bilježništvu  (Narodne novine broj 78/93., 29/94., 162/98., 16/07., 75/09., 120/16 i 57/22).</w:t>
      </w:r>
    </w:p>
    <w:p>
      <w:pPr>
        <w:spacing w:after="0" w:line="240" w:lineRule="auto"/>
        <w:rPr>
          <w:rFonts w:ascii="Calibri" w:hAnsi="Calibri" w:eastAsia="Calibri" w:cs="Calibri"/>
          <w:color w:val="000000"/>
          <w:sz w:val="20"/>
          <w:szCs w:val="20"/>
          <w:lang w:val="hr-HR"/>
        </w:rPr>
      </w:pPr>
      <w:r>
        <w:rPr>
          <w:rFonts w:ascii="Calibri" w:hAnsi="Calibri" w:eastAsia="Calibri" w:cs="Calibri"/>
          <w:color w:val="000000"/>
          <w:sz w:val="20"/>
          <w:szCs w:val="20"/>
          <w:lang w:val="hr-HR"/>
        </w:rPr>
        <w:t xml:space="preserve">Kandidati koji se pozivaju na pravo prednosti sukladno članku 102. Zakona o hrvatskim braniteljima iz Domovinskog rata i članovima njihovih obitelji (Narodne novine 121/17, 98/19, 84/21 i 156/23) u članku 48.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Calibri" w:hAnsi="Calibri" w:eastAsia="Calibri" w:cs="Calibri"/>
          <w:color w:val="231F20"/>
          <w:sz w:val="20"/>
          <w:szCs w:val="20"/>
          <w:lang w:val="hr-HR"/>
        </w:rPr>
        <w:t xml:space="preserve">članku 48. Zakona o civilnim stradalnicima iz Domovinskog rata (Narodne novine broj  84/21) </w:t>
      </w:r>
      <w:r>
        <w:rPr>
          <w:rFonts w:ascii="Calibri" w:hAnsi="Calibri" w:eastAsia="Calibri" w:cs="Calibri"/>
          <w:color w:val="000000"/>
          <w:sz w:val="20"/>
          <w:szCs w:val="20"/>
          <w:lang w:val="hr-HR"/>
        </w:rPr>
        <w:t xml:space="preserve">dužne su u prijavi na javni natječaj pozvati se na to pravo i uz prijavu priložiti svu propisanu dokumentaciju prema posebnom zakonu, a  imaju prednost u odnosu na ostale kandidate samo pod jednakim uvjetima.</w:t>
      </w:r>
    </w:p>
    <w:p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231F20"/>
          <w:sz w:val="20"/>
          <w:szCs w:val="20"/>
          <w:lang w:val="hr-HR" w:eastAsia="hr-HR"/>
        </w:rPr>
      </w:pPr>
      <w:r>
        <w:rPr>
          <w:rFonts w:ascii="Calibri" w:hAnsi="Calibri" w:eastAsia="Times New Roman" w:cs="Calibri"/>
          <w:color w:val="231F20"/>
          <w:sz w:val="20"/>
          <w:szCs w:val="20"/>
          <w:lang w:val="hr-HR" w:eastAsia="hr-HR"/>
        </w:rPr>
        <w:t xml:space="preserve">Kandidati koji ostvaruju pravo prednosti pri zapošljavanju u skladu s člankom 102. Zakona o hrvatskim braniteljima iz Domovinskog rata i članovima njihovih obitelji (Narodne novine broj  121/17, 98/19, 84/21., i 156/23), uz prijavu na natječaj dužne su priložiti i dokaze propisane člankom 103. stavak 1. Zakona o hrvatskim braniteljima iz Domovinskog rata i članovima njihovih obitelji </w:t>
      </w:r>
    </w:p>
    <w:p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231F20"/>
          <w:sz w:val="20"/>
          <w:szCs w:val="20"/>
          <w:lang w:val="hr-HR" w:eastAsia="hr-HR"/>
        </w:rPr>
      </w:pPr>
      <w:r>
        <w:rPr>
          <w:rFonts w:ascii="Calibri" w:hAnsi="Calibri" w:eastAsia="Times New Roman" w:cs="Calibri"/>
          <w:color w:val="231F20"/>
          <w:sz w:val="20"/>
          <w:szCs w:val="20"/>
          <w:lang w:val="hr-HR" w:eastAsia="hr-HR"/>
        </w:rPr>
        <w:t xml:space="preserve">Poveznica na internetsku stranicu Ministarstva hrvatskih branitelja s popisom dokaza potrebnih za ostvarivanja prava prednosti: </w:t>
      </w:r>
      <w:r>
        <w:rPr/>
        <w:fldChar w:fldCharType="begin"/>
      </w:r>
      <w:r>
        <w:rPr/>
        <w:instrText xml:space="preserve">HYPERLINK "https://branitelji.gov.hr/UserDocsImages//dokumenti/Nikola//popis%20dokaza%20za%20ostvarivanje%20prava%20prednosti%20pri%20zapo%C5%A1ljavanju-%20ZOHBDR%202021.pdf" </w:instrText>
      </w:r>
      <w:r>
        <w:rPr/>
        <w:fldChar w:fldCharType="separate"/>
      </w:r>
      <w:r>
        <w:rPr>
          <w:rFonts w:ascii="Calibri" w:hAnsi="Calibri" w:eastAsia="Times New Roman" w:cs="Calibri"/>
          <w:color w:val="4DB2EC"/>
          <w:sz w:val="20"/>
          <w:szCs w:val="20"/>
          <w:lang w:val="hr-HR" w:eastAsia="hr-HR"/>
        </w:rPr>
        <w:t xml:space="preserve">https://branitelji.gov.hr/UserDocsImages//dokumenti/Nikola//popis%20dokaza%20za%20ostvarivanje%20prava%20prednosti%20pri%20zapo%C5%A1ljavanju-%20ZOHBDR%202021.pdf</w:t>
      </w:r>
      <w:r>
        <w:rPr/>
        <w:fldChar w:fldCharType="end"/>
      </w:r>
    </w:p>
    <w:p>
      <w:pPr>
        <w:shd w:val="clear" w:color="auto" w:fill="FFFFFF"/>
        <w:spacing w:after="0" w:line="240" w:lineRule="auto"/>
        <w:textAlignment w:val="baseline"/>
        <w:rPr>
          <w:rFonts w:ascii="Calibri" w:hAnsi="Calibri" w:eastAsia="Calibri" w:cs="Calibri"/>
          <w:color w:val="4DB2EC"/>
          <w:sz w:val="20"/>
          <w:szCs w:val="20"/>
          <w:lang w:val="hr-HR"/>
        </w:rPr>
      </w:pPr>
      <w:r>
        <w:rPr>
          <w:rFonts w:ascii="Calibri" w:hAnsi="Calibri" w:eastAsia="Times New Roman" w:cs="Calibri"/>
          <w:color w:val="231F20"/>
          <w:sz w:val="20"/>
          <w:szCs w:val="20"/>
          <w:lang w:val="hr-HR" w:eastAsia="hr-HR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</w:t>
      </w:r>
      <w:r>
        <w:rPr>
          <w:rFonts w:ascii="Calibri" w:hAnsi="Calibri" w:eastAsia="Times New Roman" w:cs="Calibri"/>
          <w:sz w:val="20"/>
          <w:szCs w:val="20"/>
          <w:lang w:val="hr-HR" w:eastAsia="hr-HR"/>
        </w:rPr>
        <w:t xml:space="preserve">civilnim stradalnicima iz Domovinskog rata. </w:t>
      </w:r>
      <w:r>
        <w:rPr>
          <w:rFonts w:ascii="Calibri" w:hAnsi="Calibri" w:eastAsia="Calibri" w:cs="Calibri"/>
          <w:color w:val="231F20"/>
          <w:sz w:val="20"/>
          <w:szCs w:val="20"/>
          <w:lang w:val="hr-HR"/>
        </w:rPr>
        <w:t xml:space="preserve">Poveznica na internetsku stranicu Ministarstva hrvatskih branitelja s popisom dokaza potrebnih za ostvarivanja prava prednosti: </w:t>
      </w:r>
      <w:r>
        <w:rPr/>
        <w:fldChar w:fldCharType="begin"/>
      </w:r>
      <w:r>
        <w:rPr/>
        <w:instrText xml:space="preserve">HYPERLINK "https://branitelji.gov.hr/UserDocsImages//dokumenti/Nikola//popis%20dokaza%20za%20ostvarivanje%20prava%20prednosti%20pri%20zapo%C5%A1ljavanju-%20Zakon%20o%20civilnim%20stradalnicima%20iz%20DR.pdf"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Fonts w:ascii="Calibri" w:hAnsi="Calibri" w:eastAsia="Calibri" w:cs="Calibri"/>
          <w:color w:val="4DB2EC"/>
          <w:sz w:val="20"/>
          <w:szCs w:val="20"/>
          <w:lang w:val="hr-HR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Najkasnije do isteka roka za podnošenje prijave na natječaj Povjerenstvo će na javno dostupnoj mrežnoj stranici Škole </w:t>
      </w:r>
      <w:r>
        <w:rPr/>
        <w:fldChar w:fldCharType="begin"/>
      </w:r>
      <w:r>
        <w:rPr/>
        <w:instrText xml:space="preserve">HYPERLINK "https://ss-jkastelan-omis.skole.hr/category/natjecaji/oglasi-za-posao/" </w:instrText>
      </w:r>
      <w:r>
        <w:rPr/>
        <w:fldChar w:fldCharType="separate"/>
      </w:r>
      <w:r>
        <w:rPr>
          <w:rStyle w:val="Hiperveza"/>
          <w:rFonts w:ascii="Calibri" w:hAnsi="Calibri" w:eastAsia="Calibri" w:cs="Calibri"/>
          <w:sz w:val="20"/>
          <w:szCs w:val="20"/>
          <w:lang w:val="hr-HR"/>
        </w:rPr>
        <w:t xml:space="preserve">https://ss-jkastelan-omis.skole.hr/category/natjecaji/oglasi-za-posao/</w:t>
      </w:r>
      <w:r>
        <w:rPr/>
        <w:fldChar w:fldCharType="end"/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  objaviti način procjene, odnosno testiranja kandidata. </w:t>
      </w:r>
    </w:p>
    <w:p>
      <w:p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Prijave s nepotpunom i neodgovarajućom dokumentacijom kao i nepravovremeno dostavljene prijave neće se razmatrati.</w:t>
      </w:r>
    </w:p>
    <w:p>
      <w:p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Sve kandidate koji su pravodobno dostavili potpunu prijavu sa svim prilozima, odnosno ispravama i koji ispunjavaju uvjete natječaja, Povjerenstvo će pozvati na procjenu, odnosno testiranje najmanje pet dana prije dana određenog za procjenu, odnosno testiranje. U pozivu će biti naveden datum, vrijeme i mjesto provjere znanja i sposobnosti.</w:t>
      </w:r>
    </w:p>
    <w:p>
      <w:pPr>
        <w:spacing w:after="0" w:line="240" w:lineRule="auto"/>
        <w:rPr>
          <w:rFonts w:ascii="Calibri" w:hAnsi="Calibri" w:eastAsia="Calibri" w:cs="Calibri"/>
          <w:color w:val="FF0000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 Poziv će se u pravilu dostaviti putem elektroničke pošte na e-mail kandidata i bit će objavljen na javno dostupnim mrežnim stranicama Škole, </w:t>
      </w:r>
      <w:r>
        <w:rPr/>
        <w:fldChar w:fldCharType="begin"/>
      </w:r>
      <w:r>
        <w:rPr/>
        <w:instrText xml:space="preserve">HYPERLINK "https://ss-jkastelan-omis.skole.hr/category/natjecaji/oglasi-za-posao/" </w:instrText>
      </w:r>
      <w:r>
        <w:rPr/>
        <w:fldChar w:fldCharType="separate"/>
      </w:r>
      <w:r>
        <w:rPr>
          <w:rStyle w:val="Hiperveza"/>
          <w:rFonts w:ascii="Calibri" w:hAnsi="Calibri" w:eastAsia="Calibri" w:cs="Calibri"/>
          <w:sz w:val="20"/>
          <w:szCs w:val="20"/>
          <w:lang w:val="hr-HR"/>
        </w:rPr>
        <w:t xml:space="preserve">https://ss-jkastelan-omis.skole.hr/category/natjecaji/oglasi-za-posao/</w:t>
      </w:r>
      <w:r>
        <w:rPr/>
        <w:fldChar w:fldCharType="end"/>
      </w:r>
    </w:p>
    <w:p>
      <w:pPr>
        <w:spacing w:after="0" w:line="240" w:lineRule="auto"/>
        <w:rPr>
          <w:rFonts w:ascii="Calibri" w:hAnsi="Calibri" w:eastAsia="Calibri" w:cs="Calibri"/>
          <w:color w:val="000000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Kandidat koji je pravodobno dostavio potpunu prijavu na svim prilozima odnosno ispravama i ispunjava uvjete natječaja dužan je pristupiti procjeni odnosno testiranju prema odredbama Pravilnika o postupku zapošljavanja te procjeni i vrednovanju kandidata za zapošljavanje koji je dostupan na poveznici Škole, </w:t>
      </w:r>
      <w:r>
        <w:rPr/>
        <w:fldChar w:fldCharType="begin"/>
      </w:r>
      <w:r>
        <w:rPr/>
        <w:instrText xml:space="preserve">HYPERLINK "https://ss-jkastelan-omis.skole.hr/category/natjecaji/oglasi-za-posao/" </w:instrText>
      </w:r>
      <w:r>
        <w:rPr/>
        <w:fldChar w:fldCharType="separate"/>
      </w:r>
      <w:r>
        <w:rPr>
          <w:rStyle w:val="Hiperveza"/>
          <w:rFonts w:ascii="Calibri" w:hAnsi="Calibri" w:eastAsia="Calibri" w:cs="Calibri"/>
          <w:sz w:val="20"/>
          <w:szCs w:val="20"/>
          <w:lang w:val="hr-HR"/>
        </w:rPr>
        <w:t xml:space="preserve">https://ss-jkastelan-omis.skole.hr/category/natjecaji/oglasi-za-posao/</w:t>
      </w:r>
      <w:r>
        <w:rPr/>
        <w:fldChar w:fldCharType="end"/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 . Kandidat koji nije pristupio procjeni odnosno testiranju smatra se da je odustao od prijave na natječaj i ne smatra se kandidatom. Kandidat </w:t>
      </w:r>
      <w:r>
        <w:rPr>
          <w:rFonts w:ascii="Calibri" w:hAnsi="Calibri" w:eastAsia="Calibri" w:cs="Calibri"/>
          <w:color w:val="000000"/>
          <w:sz w:val="20"/>
          <w:szCs w:val="20"/>
          <w:lang w:val="hr-HR"/>
        </w:rPr>
        <w:t xml:space="preserve">prijavom na natječaj </w:t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daje </w:t>
      </w:r>
      <w:r>
        <w:rPr>
          <w:rFonts w:ascii="Calibri" w:hAnsi="Calibri" w:eastAsia="Calibri" w:cs="Calibri"/>
          <w:color w:val="000000"/>
          <w:sz w:val="20"/>
          <w:szCs w:val="20"/>
          <w:lang w:val="hr-HR"/>
        </w:rPr>
        <w:t xml:space="preserve">privolu za obradu osobnih podataka navedenih u svim dostavljenim prilozima odnosno ispravama za potrebe provedbe natječajnog postupka</w:t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 sukladno važećim propisima o zaštiti osobnih podataka.</w:t>
      </w:r>
    </w:p>
    <w:p>
      <w:p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b/>
          <w:sz w:val="20"/>
          <w:szCs w:val="20"/>
          <w:lang w:val="hr-HR"/>
        </w:rPr>
        <w:t xml:space="preserve">Rok za podnošenje prijava na natječaj je 8 dana </w:t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od dana objave natječaja  na mrežnoj stranici i oglasnoj ploči, Srednja škola „Jure Kaštelan“ Omiš  te mrežnoj stranici i oglasnoj ploči  Hrvatskog zavoda za zapošljavanje.</w:t>
      </w:r>
    </w:p>
    <w:p>
      <w:pPr>
        <w:spacing w:after="0" w:line="240" w:lineRule="auto"/>
        <w:jc w:val="both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Prijave s potrebnom dokumentacijom o ispunjavanju  uvjeta iz natječaja  dostavljaju se neposredno ili poštom na adresu: </w:t>
      </w:r>
      <w:r>
        <w:rPr>
          <w:rFonts w:ascii="Calibri" w:hAnsi="Calibri" w:eastAsia="Calibri" w:cs="Calibri"/>
          <w:b/>
          <w:sz w:val="20"/>
          <w:szCs w:val="20"/>
          <w:lang w:val="hr-HR"/>
        </w:rPr>
        <w:t xml:space="preserve">Srednja škola „Jure Kaštelan“ Omiš, Trg kralja Tomislava 2, 21310 Omiš s naznakom: „ Za natječaj“ (naziv radnog mjesta).</w:t>
      </w:r>
    </w:p>
    <w:p>
      <w:p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Prijave s nepotpunom i neodgovarajućom dokumentacijom kao i nepravovremeno dostavljene prijave neće se razmatrati. Povjerenstvo će elektroničkom poštom, obavijestiti osobu da  nije podnijela pravodobnu ili potpunu prijavu ili ne ispunjava uvjete iz natječaja te da ne sudjeluje u daljnjem postupku za izbor kandidata.</w:t>
      </w:r>
    </w:p>
    <w:p>
      <w:pPr>
        <w:spacing w:after="0" w:line="240" w:lineRule="auto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Kandidat/i prijavljen/i na natječaj bit će obaviješten/i o rezultatima natječaja putem mrežne stranice Škole </w:t>
      </w:r>
      <w:r>
        <w:rPr/>
        <w:fldChar w:fldCharType="begin"/>
      </w:r>
      <w:r>
        <w:rPr/>
        <w:instrText xml:space="preserve">HYPERLINK "https://ss-jkastelan-omis.skole.hr/category/natjecaji/oglasi-za-posao/" </w:instrText>
      </w:r>
      <w:r>
        <w:rPr/>
        <w:fldChar w:fldCharType="separate"/>
      </w:r>
      <w:r>
        <w:rPr>
          <w:rStyle w:val="Hiperveza"/>
          <w:rFonts w:ascii="Calibri" w:hAnsi="Calibri" w:eastAsia="Calibri" w:cs="Calibri"/>
          <w:sz w:val="20"/>
          <w:szCs w:val="20"/>
          <w:lang w:val="hr-HR"/>
        </w:rPr>
        <w:t xml:space="preserve">https://ss-jkastelan-omis.skole.hr/category/natjecaji/oglasi-za-posao/</w:t>
      </w:r>
      <w:r>
        <w:rPr/>
        <w:fldChar w:fldCharType="end"/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 najkasnije u roku od petnaest dana od dana sklapanja ugovora o radu s izabranim kandidatom. U slučaju iz članka 23. stavka 4. Pravilnika o postupku zapošljavanja te procjeni i vrednovanju kandidata za zapošljavanje u Srednjoj školi „Jure Kaštelan“  Omiš, kandidati će biti obaviješteni pisanom poštanskom pošiljkom. Natječaj je objavljen na mrežnoj stranici i oglasnoj ploči Škole, te na mrežnoj stranici i oglasnoj ploči Hrvatskog zavoda za zapošljavanj</w:t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e, Regionalnog ureda Split, od </w:t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09</w:t>
      </w:r>
      <w:r>
        <w:rPr>
          <w:rFonts w:ascii="Calibri" w:hAnsi="Calibri" w:eastAsia="Calibri" w:cs="Calibri"/>
          <w:sz w:val="20"/>
          <w:szCs w:val="20"/>
          <w:lang w:val="hr-HR"/>
        </w:rPr>
        <w:t xml:space="preserve">. siječnja 2025.</w:t>
      </w:r>
    </w:p>
    <w:p>
      <w:pPr>
        <w:spacing w:line="240" w:lineRule="auto"/>
        <w:jc w:val="both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                                                             </w:t>
      </w:r>
    </w:p>
    <w:p>
      <w:pPr>
        <w:spacing w:after="0" w:line="240" w:lineRule="auto"/>
        <w:jc w:val="right"/>
        <w:rPr>
          <w:rFonts w:ascii="Calibri" w:hAnsi="Calibri" w:eastAsia="Calibri" w:cs="Calibri"/>
          <w:sz w:val="20"/>
          <w:szCs w:val="20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                                                                                                                            Ravnateljica:</w:t>
      </w:r>
    </w:p>
    <w:p>
      <w:pPr>
        <w:spacing w:after="0" w:line="240" w:lineRule="auto"/>
        <w:jc w:val="right"/>
        <w:rPr>
          <w:rFonts w:ascii="Calibri" w:hAnsi="Calibri" w:eastAsia="Calibri" w:cs="Times New Roman"/>
          <w:lang w:val="hr-HR"/>
        </w:rPr>
      </w:pPr>
      <w:r>
        <w:rPr>
          <w:rFonts w:ascii="Calibri" w:hAnsi="Calibri" w:eastAsia="Calibri" w:cs="Calibri"/>
          <w:sz w:val="20"/>
          <w:szCs w:val="20"/>
          <w:lang w:val="hr-HR"/>
        </w:rPr>
        <w:t xml:space="preserve">                                                                                                                      Tereza Srdelić</w:t>
      </w:r>
    </w:p>
    <w:p>
      <w:pPr>
        <w:spacing/>
        <w:rPr>
          <w:rFonts w:ascii="Arial Narrow" w:hAnsi="Arial Narrow"/>
          <w:lang w:val="hr-HR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0002AFF" w:usb1="C000247B" w:usb2="00000009" w:usb3="00000000" w:csb0="000001FF" w:csb1="00000000"/>
  </w:font>
  <w:font w:name="Arial Narrow">
    <w:charset w:val="238"/>
    <w:family w:val="swiss"/>
    <w:pitch w:val="variable"/>
    <w:sig w:usb0="00000287" w:usb1="00000800" w:usb2="00000000" w:usb3="00000000" w:csb0="0000009F" w:csb1="00000000"/>
  </w:font>
  <w:font w:name="Arial">
    <w:charset w:val="238"/>
    <w:family w:val="swiss"/>
    <w:pitch w:val="variable"/>
    <w:sig w:usb0="E0002EFF" w:usb1="C0007843" w:usb2="00000009" w:usb3="00000000" w:csb0="000001FF" w:csb1="00000000"/>
  </w:font>
  <w:font w:name="Calibri Light">
    <w:charset w:val="238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21792"/>
    <w:lvl w:ilvl="0">
      <w:start w:val="1"/>
      <w:numFmt w:val="decimal"/>
      <w:suff w:val="tab"/>
      <w:lvlText w:val="%1."/>
      <w:pPr>
        <w:spacing/>
        <w:ind w:left="405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12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45" w:hanging="180"/>
      </w:pPr>
      <w:rPr/>
    </w:lvl>
    <w:lvl w:ilvl="3">
      <w:start w:val="1"/>
      <w:numFmt w:val="decimal"/>
      <w:suff w:val="tab"/>
      <w:lvlText w:val="%4."/>
      <w:pPr>
        <w:spacing/>
        <w:ind w:left="2565" w:hanging="360"/>
      </w:pPr>
      <w:rPr/>
    </w:lvl>
    <w:lvl w:ilvl="4">
      <w:start w:val="1"/>
      <w:numFmt w:val="lowerLetter"/>
      <w:suff w:val="tab"/>
      <w:lvlText w:val="%5."/>
      <w:pPr>
        <w:spacing/>
        <w:ind w:left="328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005" w:hanging="180"/>
      </w:pPr>
      <w:rPr/>
    </w:lvl>
    <w:lvl w:ilvl="6">
      <w:start w:val="1"/>
      <w:numFmt w:val="decimal"/>
      <w:suff w:val="tab"/>
      <w:lvlText w:val="%7."/>
      <w:pPr>
        <w:spacing/>
        <w:ind w:left="4725" w:hanging="360"/>
      </w:pPr>
      <w:rPr/>
    </w:lvl>
    <w:lvl w:ilvl="7">
      <w:start w:val="1"/>
      <w:numFmt w:val="lowerLetter"/>
      <w:suff w:val="tab"/>
      <w:lvlText w:val="%8."/>
      <w:pPr>
        <w:spacing/>
        <w:ind w:left="544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65" w:hanging="180"/>
      </w:pPr>
      <w:rPr/>
    </w:lvl>
  </w:abstractNum>
  <w:abstractNum w:abstractNumId="1">
    <w:nsid w:val="3472426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4E864307"/>
    <w:lvl w:ilvl="0">
      <w:start w:val="1"/>
      <w:numFmt w:val="decimal"/>
      <w:suff w:val="tab"/>
      <w:lvlText w:val="%1."/>
      <w:pPr>
        <w:spacing/>
        <w:ind w:left="525" w:hanging="360"/>
      </w:pPr>
      <w:rPr>
        <w:rFonts w:hint="default"/>
      </w:rPr>
    </w:lvl>
    <w:lvl w:ilvl="1">
      <w:start w:val="1"/>
      <w:numFmt w:val="bullet"/>
      <w:suff w:val="tab"/>
      <w:lvlText w:val="o"/>
      <w:pPr>
        <w:spacing/>
        <w:ind w:left="124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96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68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40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12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84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56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285" w:hanging="360"/>
      </w:pPr>
      <w:rPr>
        <w:rFonts w:ascii="Wingdings" w:hAnsi="Wingdings" w:hint="default"/>
      </w:rPr>
    </w:lvl>
  </w:abstractNum>
  <w:abstractNum w:abstractNumId="3">
    <w:nsid w:val="55653EC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5E9A1221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5">
    <w:nsid w:val="612A57E2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i w:val="0"/>
      </w:rPr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6">
    <w:nsid w:val="7BF377F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/>
    </w:pPr>
    <w:rPr>
      <w:lang w:val="en-GB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Bezproreda" w:customStyle="1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Uvuenotijeloteksta">
    <w:name w:val="Body Text Indent"/>
    <w:basedOn w:val="Normal"/>
    <w:link w:val="UvučenotijelotekstaChar"/>
    <w:pPr>
      <w:spacing w:after="0" w:line="240" w:lineRule="auto"/>
      <w:ind w:left="720"/>
      <w:jc w:val="both"/>
    </w:pPr>
    <w:rPr>
      <w:rFonts w:ascii="Times New Roman" w:hAnsi="Times New Roman" w:eastAsia="Times New Roman" w:cs="Times New Roman"/>
      <w:sz w:val="24"/>
      <w:szCs w:val="20"/>
      <w:lang w:val="hr-HR" w:eastAsia="hr-HR"/>
    </w:rPr>
  </w:style>
  <w:style w:type="character" w:styleId="UvuenotijelotekstaChar" w:customStyle="1">
    <w:name w:val="Uvučeno tijelo teksta Char"/>
    <w:basedOn w:val="Zadanifontodlomka"/>
    <w:link w:val="BodyTextIndent"/>
    <w:rPr>
      <w:rFonts w:ascii="Times New Roman" w:hAnsi="Times New Roman" w:eastAsia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</w:pPr>
    <w:rPr/>
  </w:style>
  <w:style w:type="character" w:styleId="Tijeloteksta2Char" w:customStyle="1">
    <w:name w:val="Tijelo teksta 2 Char"/>
    <w:basedOn w:val="Zadanifontodlomka"/>
    <w:link w:val="BodyText2"/>
    <w:uiPriority w:val="99"/>
    <w:rPr>
      <w:lang w:val="en-GB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box8249682" w:customStyle="1">
    <w:name w:val="box8249682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paragraph" w:styleId="box8321335" w:customStyle="1">
    <w:name w:val="box_8321335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3</Pages>
  <Words>1666</Words>
  <Characters>9500</Characters>
  <Application>Microsoft Office Word</Application>
  <DocSecurity>0</DocSecurity>
  <Lines>79</Lines>
  <Paragraphs>22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Bilanović</dc:creator>
  <cp:keywords/>
  <dc:description/>
  <cp:lastModifiedBy>Windows korisnik</cp:lastModifiedBy>
  <cp:revision>4</cp:revision>
  <dcterms:created xsi:type="dcterms:W3CDTF">2025-01-09T07:51:00Z</dcterms:created>
  <dcterms:modified xsi:type="dcterms:W3CDTF">2025-01-09T08:07:00Z</dcterms:modified>
</cp:coreProperties>
</file>